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Fire Sermon</w:t>
      </w:r>
    </w:p>
    <w:p>
      <w:pPr>
        <w:spacing w:after="200"/>
      </w:pPr>
      <w:r>
        <w:rPr>
          <w:color w:val="78716C"/>
          <w:sz w:val="18"/>
        </w:rPr>
        <w:t>Bhante Bodhidhamma  ·  Tips of the Day  ·  1 min read</w:t>
      </w:r>
    </w:p>
    <w:p>
      <w:pPr>
        <w:spacing w:after="240"/>
      </w:pPr>
      <w:r>
        <w:rPr>
          <w:color w:val="B8860B"/>
          <w:sz w:val="16"/>
        </w:rPr>
        <w:t>──────────────────────────────</w:t>
      </w:r>
    </w:p>
    <w:p>
      <w:r>
        <w:t>Bhante BodhidhammaThe Buddha explains the cause of conflict and suffering.He tells us how to free ourselves from it.In a word: non-reactivity.We can then act in the world with a pure heartas he did.On one occasion the Blessed One was dwelling at Gaya, at Gaya’s Head, together with a thousand bhikkhus. There the Blessed One addressed the bhikkhus thus:“Bhikkhus, all is burning. And what, bhikkhus, is the all that is burning? The eye is burning, forms are burning, eye-consciousness is burning, eye-contact is burning, and whatever feeling arises with eye-contact as condition—whether pleasant or painful or neither-painful-nor-pleasant—that too is burning. Burning with what? Burning with the fire of lust, with the fire of hatred, with the fire of delusion; burning with birth, aging, and death; with sorrow, lamentation, pain, displeasure, and despair, I say.“The ear is burning … The mind is burning … and whatever feeling arises with mind-contact as condition—whether pleasant or painful or neither-painful-nor-pleasant—that too is burning. Burning with what? Burning with the fire of lust, with the fire of hatred, with the fire of delusion; burning with birth, aging, and death; with sorrow, lamentation, pain, displeasure, and despair, I say.“Seeing thus, bhikkhus, the instructed noble disciple experiencesdisenchantmenttowards the eye, towards forms, towards eye-consciousness, towards eye-contact, towards whatever feeling arises with eye-contact as condition—whether pleasant or painful or neither-painful-nor-pleasant; experiences revulsion towards the ear … towards the mind … towards whatever feeling arises with mind-contact as condition…. Experiencingdisenchantment, he becomes dispassionate. Through dispassion his mind is liberated. When it is liberated there comes the knowledge: ‘It’s liberated.’ He understands: ‘Destroyed is birth, the holy life has been lived, what had to be done has been done, there is no more for this state ofbecoming.’”This is what the Blessed One said. Elated, those bhikkhus delighted in the Blessed One’s statement. And while this discourse was being spoken, the minds of the thousand bhikkhus were liberated from the taints by nonclinging.Bhiikhu BodhiItalics are mine. disenchantment for revulsion and becoming for being.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